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814" w:rsidRDefault="004D4814">
      <w:pPr>
        <w:rPr>
          <w:rFonts w:ascii="Arial Narrow" w:eastAsia="Arial Narrow" w:hAnsi="Arial Narrow" w:cs="Arial Narrow"/>
        </w:rPr>
      </w:pPr>
      <w:bookmarkStart w:id="0" w:name="_gjdgxs" w:colFirst="0" w:colLast="0"/>
      <w:bookmarkEnd w:id="0"/>
    </w:p>
    <w:tbl>
      <w:tblPr>
        <w:tblStyle w:val="a"/>
        <w:tblW w:w="10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618"/>
      </w:tblGrid>
      <w:tr w:rsidR="004D4814">
        <w:tc>
          <w:tcPr>
            <w:tcW w:w="10173" w:type="dxa"/>
            <w:gridSpan w:val="2"/>
            <w:shd w:val="clear" w:color="auto" w:fill="1F497D"/>
          </w:tcPr>
          <w:p w:rsidR="004D4814" w:rsidRDefault="00592D7C">
            <w:pPr>
              <w:spacing w:after="0" w:line="240" w:lineRule="auto"/>
              <w:jc w:val="center"/>
              <w:rPr>
                <w:rFonts w:ascii="Arial Narrow" w:eastAsia="Arial Narrow" w:hAnsi="Arial Narrow" w:cs="Arial Narrow"/>
                <w:b/>
                <w:color w:val="FFFFFF"/>
              </w:rPr>
            </w:pPr>
            <w:r>
              <w:rPr>
                <w:rFonts w:ascii="Arial Narrow" w:eastAsia="Arial Narrow" w:hAnsi="Arial Narrow" w:cs="Arial Narrow"/>
                <w:b/>
                <w:color w:val="FFFFFF"/>
              </w:rPr>
              <w:t>Ayuda Memoria</w:t>
            </w:r>
          </w:p>
        </w:tc>
      </w:tr>
      <w:tr w:rsidR="004D4814">
        <w:tc>
          <w:tcPr>
            <w:tcW w:w="1555" w:type="dxa"/>
            <w:shd w:val="clear" w:color="auto" w:fill="C6D9F1"/>
            <w:vAlign w:val="center"/>
          </w:tcPr>
          <w:p w:rsidR="004D4814" w:rsidRDefault="00592D7C">
            <w:pPr>
              <w:spacing w:after="0" w:line="240" w:lineRule="auto"/>
              <w:rPr>
                <w:rFonts w:ascii="Arial Narrow" w:eastAsia="Arial Narrow" w:hAnsi="Arial Narrow" w:cs="Arial Narrow"/>
                <w:b/>
              </w:rPr>
            </w:pPr>
            <w:r>
              <w:rPr>
                <w:rFonts w:ascii="Arial Narrow" w:eastAsia="Arial Narrow" w:hAnsi="Arial Narrow" w:cs="Arial Narrow"/>
                <w:b/>
              </w:rPr>
              <w:t>Tema:</w:t>
            </w:r>
          </w:p>
        </w:tc>
        <w:tc>
          <w:tcPr>
            <w:tcW w:w="8618" w:type="dxa"/>
            <w:shd w:val="clear" w:color="auto" w:fill="auto"/>
          </w:tcPr>
          <w:p w:rsidR="004D4814" w:rsidRDefault="00592D7C">
            <w:pPr>
              <w:spacing w:after="0" w:line="240" w:lineRule="auto"/>
              <w:rPr>
                <w:rFonts w:ascii="Arial Narrow" w:eastAsia="Arial Narrow" w:hAnsi="Arial Narrow" w:cs="Arial Narrow"/>
              </w:rPr>
            </w:pPr>
            <w:r>
              <w:rPr>
                <w:rFonts w:ascii="Arial Narrow" w:eastAsia="Arial Narrow" w:hAnsi="Arial Narrow" w:cs="Arial Narrow"/>
              </w:rPr>
              <w:t>Examen Especial Contraloría General del Estado al Proyecto Minero Llurimagua</w:t>
            </w:r>
          </w:p>
        </w:tc>
      </w:tr>
      <w:tr w:rsidR="004D4814">
        <w:tc>
          <w:tcPr>
            <w:tcW w:w="1555" w:type="dxa"/>
            <w:tcBorders>
              <w:bottom w:val="single" w:sz="4" w:space="0" w:color="000000"/>
            </w:tcBorders>
            <w:shd w:val="clear" w:color="auto" w:fill="C6D9F1"/>
            <w:vAlign w:val="center"/>
          </w:tcPr>
          <w:p w:rsidR="004D4814" w:rsidRDefault="00592D7C">
            <w:pPr>
              <w:spacing w:after="0" w:line="240" w:lineRule="auto"/>
              <w:rPr>
                <w:rFonts w:ascii="Arial Narrow" w:eastAsia="Arial Narrow" w:hAnsi="Arial Narrow" w:cs="Arial Narrow"/>
                <w:b/>
              </w:rPr>
            </w:pPr>
            <w:r>
              <w:rPr>
                <w:rFonts w:ascii="Arial Narrow" w:eastAsia="Arial Narrow" w:hAnsi="Arial Narrow" w:cs="Arial Narrow"/>
                <w:b/>
              </w:rPr>
              <w:t>Elaborado por:</w:t>
            </w:r>
          </w:p>
        </w:tc>
        <w:tc>
          <w:tcPr>
            <w:tcW w:w="8618" w:type="dxa"/>
            <w:tcBorders>
              <w:bottom w:val="single" w:sz="4" w:space="0" w:color="000000"/>
            </w:tcBorders>
            <w:shd w:val="clear" w:color="auto" w:fill="auto"/>
          </w:tcPr>
          <w:p w:rsidR="004D4814" w:rsidRDefault="00592D7C">
            <w:pPr>
              <w:spacing w:after="0" w:line="240" w:lineRule="auto"/>
              <w:rPr>
                <w:rFonts w:ascii="Arial Narrow" w:eastAsia="Arial Narrow" w:hAnsi="Arial Narrow" w:cs="Arial Narrow"/>
              </w:rPr>
            </w:pPr>
            <w:r>
              <w:rPr>
                <w:rFonts w:ascii="Arial Narrow" w:eastAsia="Arial Narrow" w:hAnsi="Arial Narrow" w:cs="Arial Narrow"/>
              </w:rPr>
              <w:t>ENAMI EP</w:t>
            </w:r>
          </w:p>
        </w:tc>
      </w:tr>
      <w:tr w:rsidR="004D4814">
        <w:tc>
          <w:tcPr>
            <w:tcW w:w="1555" w:type="dxa"/>
            <w:tcBorders>
              <w:bottom w:val="single" w:sz="4" w:space="0" w:color="000000"/>
            </w:tcBorders>
            <w:shd w:val="clear" w:color="auto" w:fill="C6D9F1"/>
            <w:vAlign w:val="center"/>
          </w:tcPr>
          <w:p w:rsidR="004D4814" w:rsidRDefault="00592D7C">
            <w:pPr>
              <w:spacing w:after="0" w:line="240" w:lineRule="auto"/>
              <w:rPr>
                <w:rFonts w:ascii="Arial Narrow" w:eastAsia="Arial Narrow" w:hAnsi="Arial Narrow" w:cs="Arial Narrow"/>
                <w:b/>
              </w:rPr>
            </w:pPr>
            <w:r>
              <w:rPr>
                <w:rFonts w:ascii="Arial Narrow" w:eastAsia="Arial Narrow" w:hAnsi="Arial Narrow" w:cs="Arial Narrow"/>
                <w:b/>
              </w:rPr>
              <w:t>Fecha:</w:t>
            </w:r>
          </w:p>
        </w:tc>
        <w:tc>
          <w:tcPr>
            <w:tcW w:w="8618" w:type="dxa"/>
            <w:tcBorders>
              <w:bottom w:val="single" w:sz="4" w:space="0" w:color="000000"/>
            </w:tcBorders>
            <w:shd w:val="clear" w:color="auto" w:fill="auto"/>
          </w:tcPr>
          <w:p w:rsidR="004D4814" w:rsidRDefault="00592D7C">
            <w:pPr>
              <w:spacing w:after="0" w:line="240" w:lineRule="auto"/>
              <w:rPr>
                <w:rFonts w:ascii="Arial Narrow" w:eastAsia="Arial Narrow" w:hAnsi="Arial Narrow" w:cs="Arial Narrow"/>
              </w:rPr>
            </w:pPr>
            <w:r>
              <w:rPr>
                <w:rFonts w:ascii="Arial Narrow" w:eastAsia="Arial Narrow" w:hAnsi="Arial Narrow" w:cs="Arial Narrow"/>
              </w:rPr>
              <w:t>25/11/2019</w:t>
            </w:r>
          </w:p>
        </w:tc>
      </w:tr>
      <w:tr w:rsidR="004D4814">
        <w:trPr>
          <w:trHeight w:val="60"/>
        </w:trPr>
        <w:tc>
          <w:tcPr>
            <w:tcW w:w="1555" w:type="dxa"/>
            <w:tcBorders>
              <w:top w:val="single" w:sz="4" w:space="0" w:color="000000"/>
              <w:left w:val="nil"/>
              <w:bottom w:val="single" w:sz="4" w:space="0" w:color="000000"/>
              <w:right w:val="nil"/>
            </w:tcBorders>
            <w:shd w:val="clear" w:color="auto" w:fill="FFFFFF"/>
            <w:vAlign w:val="center"/>
          </w:tcPr>
          <w:p w:rsidR="004D4814" w:rsidRDefault="004D4814">
            <w:pPr>
              <w:spacing w:after="0" w:line="240" w:lineRule="auto"/>
              <w:rPr>
                <w:rFonts w:ascii="Arial Narrow" w:eastAsia="Arial Narrow" w:hAnsi="Arial Narrow" w:cs="Arial Narrow"/>
                <w:b/>
              </w:rPr>
            </w:pPr>
          </w:p>
        </w:tc>
        <w:tc>
          <w:tcPr>
            <w:tcW w:w="8618" w:type="dxa"/>
            <w:tcBorders>
              <w:top w:val="single" w:sz="4" w:space="0" w:color="000000"/>
              <w:left w:val="nil"/>
              <w:bottom w:val="single" w:sz="4" w:space="0" w:color="000000"/>
              <w:right w:val="nil"/>
            </w:tcBorders>
            <w:shd w:val="clear" w:color="auto" w:fill="FFFFFF"/>
          </w:tcPr>
          <w:p w:rsidR="004D4814" w:rsidRDefault="004D4814">
            <w:pPr>
              <w:spacing w:after="0" w:line="240" w:lineRule="auto"/>
              <w:rPr>
                <w:rFonts w:ascii="Arial Narrow" w:eastAsia="Arial Narrow" w:hAnsi="Arial Narrow" w:cs="Arial Narrow"/>
              </w:rPr>
            </w:pPr>
          </w:p>
        </w:tc>
      </w:tr>
      <w:tr w:rsidR="004D4814">
        <w:tc>
          <w:tcPr>
            <w:tcW w:w="1555" w:type="dxa"/>
            <w:tcBorders>
              <w:top w:val="single" w:sz="4" w:space="0" w:color="000000"/>
            </w:tcBorders>
            <w:shd w:val="clear" w:color="auto" w:fill="1F497D"/>
            <w:vAlign w:val="center"/>
          </w:tcPr>
          <w:p w:rsidR="004D4814" w:rsidRDefault="00592D7C">
            <w:pPr>
              <w:numPr>
                <w:ilvl w:val="0"/>
                <w:numId w:val="2"/>
              </w:numPr>
              <w:spacing w:after="0" w:line="240" w:lineRule="auto"/>
              <w:ind w:left="284" w:hanging="284"/>
              <w:rPr>
                <w:rFonts w:ascii="Arial Narrow" w:eastAsia="Arial Narrow" w:hAnsi="Arial Narrow" w:cs="Arial Narrow"/>
                <w:b/>
                <w:color w:val="FFFFFF"/>
              </w:rPr>
            </w:pPr>
            <w:r>
              <w:rPr>
                <w:rFonts w:ascii="Arial Narrow" w:eastAsia="Arial Narrow" w:hAnsi="Arial Narrow" w:cs="Arial Narrow"/>
                <w:b/>
                <w:color w:val="FFFFFF"/>
              </w:rPr>
              <w:t>Antecedentes</w:t>
            </w:r>
          </w:p>
        </w:tc>
        <w:tc>
          <w:tcPr>
            <w:tcW w:w="8618" w:type="dxa"/>
            <w:tcBorders>
              <w:top w:val="single" w:sz="4" w:space="0" w:color="000000"/>
            </w:tcBorders>
            <w:shd w:val="clear" w:color="auto" w:fill="auto"/>
          </w:tcPr>
          <w:p w:rsidR="004D4814" w:rsidRDefault="00592D7C">
            <w:pPr>
              <w:rPr>
                <w:rFonts w:ascii="Arial Narrow" w:eastAsia="Arial Narrow" w:hAnsi="Arial Narrow" w:cs="Arial Narrow"/>
              </w:rPr>
            </w:pPr>
            <w:r>
              <w:rPr>
                <w:rFonts w:ascii="Arial Narrow" w:eastAsia="Arial Narrow" w:hAnsi="Arial Narrow" w:cs="Arial Narrow"/>
              </w:rPr>
              <w:t>La Contraloría General del Estado (CGE) realizó un Examen Especial al Proyecto Minero Llurimagua (Imbabura) a cargo de ENAMI EP del período del 1 de enero de 2012 al 31 de diciembre de 2017. El informe fue aprobado el 14 de marzo de 2019.</w:t>
            </w:r>
          </w:p>
        </w:tc>
      </w:tr>
      <w:tr w:rsidR="004D4814">
        <w:trPr>
          <w:trHeight w:val="1120"/>
        </w:trPr>
        <w:tc>
          <w:tcPr>
            <w:tcW w:w="1555" w:type="dxa"/>
            <w:shd w:val="clear" w:color="auto" w:fill="1F497D"/>
            <w:tcMar>
              <w:left w:w="70" w:type="dxa"/>
              <w:right w:w="70" w:type="dxa"/>
            </w:tcMar>
            <w:vAlign w:val="center"/>
          </w:tcPr>
          <w:p w:rsidR="004D4814" w:rsidRDefault="004D4814">
            <w:pPr>
              <w:spacing w:after="0" w:line="240" w:lineRule="auto"/>
              <w:ind w:left="284" w:hanging="284"/>
              <w:rPr>
                <w:rFonts w:ascii="Arial Narrow" w:eastAsia="Arial Narrow" w:hAnsi="Arial Narrow" w:cs="Arial Narrow"/>
                <w:b/>
                <w:color w:val="FFFFFF"/>
              </w:rPr>
            </w:pPr>
          </w:p>
          <w:p w:rsidR="004D4814" w:rsidRDefault="004D4814">
            <w:pPr>
              <w:spacing w:after="0" w:line="240" w:lineRule="auto"/>
              <w:ind w:left="284" w:hanging="284"/>
              <w:rPr>
                <w:rFonts w:ascii="Arial Narrow" w:eastAsia="Arial Narrow" w:hAnsi="Arial Narrow" w:cs="Arial Narrow"/>
                <w:b/>
                <w:color w:val="FFFFFF"/>
              </w:rPr>
            </w:pPr>
          </w:p>
          <w:p w:rsidR="004D4814" w:rsidRDefault="004D4814">
            <w:pPr>
              <w:spacing w:after="0" w:line="240" w:lineRule="auto"/>
              <w:ind w:left="284" w:hanging="284"/>
              <w:rPr>
                <w:rFonts w:ascii="Arial Narrow" w:eastAsia="Arial Narrow" w:hAnsi="Arial Narrow" w:cs="Arial Narrow"/>
                <w:b/>
                <w:color w:val="FFFFFF"/>
              </w:rPr>
            </w:pPr>
          </w:p>
          <w:p w:rsidR="004D4814" w:rsidRDefault="004D4814">
            <w:pPr>
              <w:spacing w:after="0" w:line="240" w:lineRule="auto"/>
              <w:ind w:left="284" w:hanging="284"/>
              <w:rPr>
                <w:rFonts w:ascii="Arial Narrow" w:eastAsia="Arial Narrow" w:hAnsi="Arial Narrow" w:cs="Arial Narrow"/>
                <w:b/>
                <w:color w:val="FFFFFF"/>
              </w:rPr>
            </w:pPr>
          </w:p>
          <w:p w:rsidR="004D4814" w:rsidRDefault="004D4814">
            <w:pPr>
              <w:spacing w:after="0" w:line="240" w:lineRule="auto"/>
              <w:ind w:left="284" w:hanging="284"/>
              <w:rPr>
                <w:rFonts w:ascii="Arial Narrow" w:eastAsia="Arial Narrow" w:hAnsi="Arial Narrow" w:cs="Arial Narrow"/>
                <w:b/>
                <w:color w:val="FFFFFF"/>
              </w:rPr>
            </w:pPr>
          </w:p>
          <w:p w:rsidR="004D4814" w:rsidRDefault="004D4814">
            <w:pPr>
              <w:spacing w:after="0" w:line="240" w:lineRule="auto"/>
              <w:ind w:left="284" w:hanging="284"/>
              <w:rPr>
                <w:rFonts w:ascii="Arial Narrow" w:eastAsia="Arial Narrow" w:hAnsi="Arial Narrow" w:cs="Arial Narrow"/>
                <w:b/>
                <w:color w:val="FFFFFF"/>
              </w:rPr>
            </w:pPr>
          </w:p>
          <w:p w:rsidR="004D4814" w:rsidRDefault="004D4814">
            <w:pPr>
              <w:spacing w:after="0" w:line="240" w:lineRule="auto"/>
              <w:ind w:left="284" w:hanging="284"/>
              <w:rPr>
                <w:rFonts w:ascii="Arial Narrow" w:eastAsia="Arial Narrow" w:hAnsi="Arial Narrow" w:cs="Arial Narrow"/>
                <w:b/>
                <w:color w:val="FFFFFF"/>
              </w:rPr>
            </w:pPr>
          </w:p>
          <w:p w:rsidR="004D4814" w:rsidRDefault="004D4814">
            <w:pPr>
              <w:spacing w:after="0" w:line="240" w:lineRule="auto"/>
              <w:ind w:left="284" w:hanging="284"/>
              <w:rPr>
                <w:rFonts w:ascii="Arial Narrow" w:eastAsia="Arial Narrow" w:hAnsi="Arial Narrow" w:cs="Arial Narrow"/>
                <w:b/>
                <w:color w:val="FFFFFF"/>
              </w:rPr>
            </w:pPr>
          </w:p>
          <w:p w:rsidR="004D4814" w:rsidRDefault="004D4814">
            <w:pPr>
              <w:spacing w:after="0" w:line="240" w:lineRule="auto"/>
              <w:ind w:left="284" w:hanging="284"/>
              <w:rPr>
                <w:rFonts w:ascii="Arial Narrow" w:eastAsia="Arial Narrow" w:hAnsi="Arial Narrow" w:cs="Arial Narrow"/>
                <w:b/>
                <w:color w:val="FFFFFF"/>
              </w:rPr>
            </w:pPr>
          </w:p>
          <w:p w:rsidR="004D4814" w:rsidRDefault="004D4814">
            <w:pPr>
              <w:spacing w:after="0" w:line="240" w:lineRule="auto"/>
              <w:ind w:left="284" w:hanging="284"/>
              <w:rPr>
                <w:rFonts w:ascii="Arial Narrow" w:eastAsia="Arial Narrow" w:hAnsi="Arial Narrow" w:cs="Arial Narrow"/>
                <w:b/>
                <w:color w:val="FFFFFF"/>
              </w:rPr>
            </w:pPr>
          </w:p>
          <w:p w:rsidR="004D4814" w:rsidRDefault="004D4814">
            <w:pPr>
              <w:spacing w:after="0" w:line="240" w:lineRule="auto"/>
              <w:ind w:left="284" w:hanging="284"/>
              <w:rPr>
                <w:rFonts w:ascii="Arial Narrow" w:eastAsia="Arial Narrow" w:hAnsi="Arial Narrow" w:cs="Arial Narrow"/>
                <w:b/>
                <w:color w:val="FFFFFF"/>
              </w:rPr>
            </w:pPr>
          </w:p>
          <w:p w:rsidR="004D4814" w:rsidRDefault="004D4814">
            <w:pPr>
              <w:spacing w:after="0" w:line="240" w:lineRule="auto"/>
              <w:ind w:left="284" w:hanging="284"/>
              <w:rPr>
                <w:rFonts w:ascii="Arial Narrow" w:eastAsia="Arial Narrow" w:hAnsi="Arial Narrow" w:cs="Arial Narrow"/>
                <w:b/>
                <w:color w:val="FFFFFF"/>
              </w:rPr>
            </w:pPr>
          </w:p>
          <w:p w:rsidR="004D4814" w:rsidRDefault="004D4814">
            <w:pPr>
              <w:spacing w:after="0" w:line="240" w:lineRule="auto"/>
              <w:ind w:left="284" w:hanging="284"/>
              <w:rPr>
                <w:rFonts w:ascii="Arial Narrow" w:eastAsia="Arial Narrow" w:hAnsi="Arial Narrow" w:cs="Arial Narrow"/>
                <w:b/>
                <w:color w:val="FFFFFF"/>
              </w:rPr>
            </w:pPr>
          </w:p>
          <w:p w:rsidR="004D4814" w:rsidRDefault="004D4814">
            <w:pPr>
              <w:spacing w:after="0" w:line="240" w:lineRule="auto"/>
              <w:ind w:left="284" w:hanging="284"/>
              <w:rPr>
                <w:rFonts w:ascii="Arial Narrow" w:eastAsia="Arial Narrow" w:hAnsi="Arial Narrow" w:cs="Arial Narrow"/>
                <w:b/>
                <w:color w:val="FFFFFF"/>
              </w:rPr>
            </w:pPr>
          </w:p>
          <w:p w:rsidR="004D4814" w:rsidRDefault="00592D7C">
            <w:pPr>
              <w:spacing w:after="0" w:line="240" w:lineRule="auto"/>
              <w:rPr>
                <w:rFonts w:ascii="Arial Narrow" w:eastAsia="Arial Narrow" w:hAnsi="Arial Narrow" w:cs="Arial Narrow"/>
                <w:b/>
                <w:color w:val="FFFFFF"/>
              </w:rPr>
            </w:pPr>
            <w:r>
              <w:rPr>
                <w:rFonts w:ascii="Arial Narrow" w:eastAsia="Arial Narrow" w:hAnsi="Arial Narrow" w:cs="Arial Narrow"/>
                <w:b/>
                <w:color w:val="FFFFFF"/>
              </w:rPr>
              <w:t>Detalle</w:t>
            </w:r>
          </w:p>
          <w:p w:rsidR="004D4814" w:rsidRDefault="004D4814">
            <w:pPr>
              <w:spacing w:after="0" w:line="240" w:lineRule="auto"/>
              <w:ind w:left="284" w:hanging="284"/>
              <w:rPr>
                <w:rFonts w:ascii="Arial Narrow" w:eastAsia="Arial Narrow" w:hAnsi="Arial Narrow" w:cs="Arial Narrow"/>
                <w:b/>
                <w:color w:val="FFFFFF"/>
              </w:rPr>
            </w:pPr>
          </w:p>
          <w:p w:rsidR="004D4814" w:rsidRDefault="004D4814">
            <w:pPr>
              <w:spacing w:after="0" w:line="240" w:lineRule="auto"/>
              <w:ind w:left="284" w:hanging="284"/>
              <w:rPr>
                <w:rFonts w:ascii="Arial Narrow" w:eastAsia="Arial Narrow" w:hAnsi="Arial Narrow" w:cs="Arial Narrow"/>
                <w:b/>
                <w:color w:val="FFFFFF"/>
              </w:rPr>
            </w:pPr>
          </w:p>
          <w:p w:rsidR="004D4814" w:rsidRDefault="004D4814">
            <w:pPr>
              <w:spacing w:after="0" w:line="240" w:lineRule="auto"/>
              <w:ind w:left="284" w:hanging="284"/>
              <w:rPr>
                <w:rFonts w:ascii="Arial Narrow" w:eastAsia="Arial Narrow" w:hAnsi="Arial Narrow" w:cs="Arial Narrow"/>
                <w:b/>
                <w:color w:val="FFFFFF"/>
              </w:rPr>
            </w:pPr>
          </w:p>
          <w:p w:rsidR="004D4814" w:rsidRDefault="004D4814">
            <w:pPr>
              <w:spacing w:after="0" w:line="240" w:lineRule="auto"/>
              <w:ind w:left="284" w:hanging="284"/>
              <w:rPr>
                <w:rFonts w:ascii="Arial Narrow" w:eastAsia="Arial Narrow" w:hAnsi="Arial Narrow" w:cs="Arial Narrow"/>
                <w:b/>
                <w:color w:val="FFFFFF"/>
              </w:rPr>
            </w:pPr>
          </w:p>
          <w:p w:rsidR="004D4814" w:rsidRDefault="004D4814">
            <w:pPr>
              <w:spacing w:after="0" w:line="240" w:lineRule="auto"/>
              <w:ind w:left="284" w:hanging="284"/>
              <w:rPr>
                <w:rFonts w:ascii="Arial Narrow" w:eastAsia="Arial Narrow" w:hAnsi="Arial Narrow" w:cs="Arial Narrow"/>
                <w:b/>
                <w:color w:val="FFFFFF"/>
              </w:rPr>
            </w:pPr>
          </w:p>
          <w:p w:rsidR="004D4814" w:rsidRDefault="004D4814">
            <w:pPr>
              <w:spacing w:after="0" w:line="240" w:lineRule="auto"/>
              <w:ind w:left="284" w:hanging="284"/>
              <w:rPr>
                <w:rFonts w:ascii="Arial Narrow" w:eastAsia="Arial Narrow" w:hAnsi="Arial Narrow" w:cs="Arial Narrow"/>
                <w:b/>
                <w:color w:val="FFFFFF"/>
              </w:rPr>
            </w:pPr>
          </w:p>
          <w:p w:rsidR="004D4814" w:rsidRDefault="004D4814">
            <w:pPr>
              <w:spacing w:after="0" w:line="240" w:lineRule="auto"/>
              <w:ind w:left="284" w:hanging="284"/>
              <w:rPr>
                <w:rFonts w:ascii="Arial Narrow" w:eastAsia="Arial Narrow" w:hAnsi="Arial Narrow" w:cs="Arial Narrow"/>
                <w:b/>
                <w:color w:val="FFFFFF"/>
              </w:rPr>
            </w:pPr>
          </w:p>
          <w:p w:rsidR="004D4814" w:rsidRDefault="004D4814">
            <w:pPr>
              <w:spacing w:after="0" w:line="240" w:lineRule="auto"/>
              <w:ind w:left="284" w:hanging="284"/>
              <w:rPr>
                <w:rFonts w:ascii="Arial Narrow" w:eastAsia="Arial Narrow" w:hAnsi="Arial Narrow" w:cs="Arial Narrow"/>
                <w:b/>
                <w:color w:val="FFFFFF"/>
              </w:rPr>
            </w:pPr>
          </w:p>
          <w:p w:rsidR="004D4814" w:rsidRDefault="004D4814">
            <w:pPr>
              <w:spacing w:after="0" w:line="240" w:lineRule="auto"/>
              <w:ind w:left="284" w:hanging="284"/>
              <w:rPr>
                <w:rFonts w:ascii="Arial Narrow" w:eastAsia="Arial Narrow" w:hAnsi="Arial Narrow" w:cs="Arial Narrow"/>
                <w:b/>
                <w:color w:val="FFFFFF"/>
              </w:rPr>
            </w:pPr>
          </w:p>
          <w:p w:rsidR="004D4814" w:rsidRDefault="004D4814">
            <w:pPr>
              <w:spacing w:after="0" w:line="240" w:lineRule="auto"/>
              <w:ind w:left="284" w:hanging="284"/>
              <w:rPr>
                <w:rFonts w:ascii="Arial Narrow" w:eastAsia="Arial Narrow" w:hAnsi="Arial Narrow" w:cs="Arial Narrow"/>
                <w:b/>
                <w:color w:val="FFFFFF"/>
              </w:rPr>
            </w:pPr>
          </w:p>
          <w:p w:rsidR="004D4814" w:rsidRDefault="004D4814">
            <w:pPr>
              <w:spacing w:after="0" w:line="240" w:lineRule="auto"/>
              <w:ind w:left="284" w:hanging="284"/>
              <w:rPr>
                <w:rFonts w:ascii="Arial Narrow" w:eastAsia="Arial Narrow" w:hAnsi="Arial Narrow" w:cs="Arial Narrow"/>
                <w:b/>
                <w:color w:val="FFFFFF"/>
              </w:rPr>
            </w:pPr>
          </w:p>
          <w:p w:rsidR="004D4814" w:rsidRDefault="004D4814">
            <w:pPr>
              <w:spacing w:after="0" w:line="240" w:lineRule="auto"/>
              <w:rPr>
                <w:rFonts w:ascii="Arial Narrow" w:eastAsia="Arial Narrow" w:hAnsi="Arial Narrow" w:cs="Arial Narrow"/>
                <w:b/>
                <w:color w:val="FFFFFF"/>
              </w:rPr>
            </w:pPr>
          </w:p>
        </w:tc>
        <w:tc>
          <w:tcPr>
            <w:tcW w:w="8618" w:type="dxa"/>
            <w:shd w:val="clear" w:color="auto" w:fill="auto"/>
            <w:tcMar>
              <w:left w:w="70" w:type="dxa"/>
              <w:right w:w="70" w:type="dxa"/>
            </w:tcMar>
          </w:tcPr>
          <w:p w:rsidR="004D4814" w:rsidRDefault="00592D7C">
            <w:pPr>
              <w:numPr>
                <w:ilvl w:val="0"/>
                <w:numId w:val="1"/>
              </w:numPr>
              <w:pBdr>
                <w:top w:val="nil"/>
                <w:left w:val="nil"/>
                <w:bottom w:val="nil"/>
                <w:right w:val="nil"/>
                <w:between w:val="nil"/>
              </w:pBdr>
              <w:spacing w:after="0"/>
              <w:rPr>
                <w:color w:val="000000"/>
              </w:rPr>
            </w:pPr>
            <w:r>
              <w:rPr>
                <w:rFonts w:ascii="Arial Narrow" w:eastAsia="Arial Narrow" w:hAnsi="Arial Narrow" w:cs="Arial Narrow"/>
                <w:color w:val="000000"/>
              </w:rPr>
              <w:t>En sesión de Directorio de 28 de marzo de 2019, a través de Resolución 177-2019-DIR-ENAMIEP, se aprobó emplear la figura asociativa, entre la ENAMI EP y CODELCO, mediante el modelo de SOCIEDAD ANÓNIMA. Cumpliendo al 100% con la recomendación emitida por la CGE.</w:t>
            </w:r>
          </w:p>
          <w:p w:rsidR="004D4814" w:rsidRDefault="00592D7C">
            <w:pPr>
              <w:numPr>
                <w:ilvl w:val="0"/>
                <w:numId w:val="1"/>
              </w:numPr>
              <w:pBdr>
                <w:top w:val="nil"/>
                <w:left w:val="nil"/>
                <w:bottom w:val="nil"/>
                <w:right w:val="nil"/>
                <w:between w:val="nil"/>
              </w:pBdr>
              <w:spacing w:after="0"/>
              <w:jc w:val="both"/>
              <w:rPr>
                <w:color w:val="000000"/>
              </w:rPr>
            </w:pPr>
            <w:r>
              <w:rPr>
                <w:rFonts w:ascii="Arial Narrow" w:eastAsia="Arial Narrow" w:hAnsi="Arial Narrow" w:cs="Arial Narrow"/>
                <w:color w:val="000000"/>
              </w:rPr>
              <w:t>Se encuentra en proceso de negociación el Acuerdo de Accionistas entre ENAMI EP y CODELCO, que será el instrumento que establezca los derechos y responsabilidades de las partes. Cumpliendo el 90% con la recomendación emitida por la CGE.</w:t>
            </w:r>
          </w:p>
          <w:p w:rsidR="004D4814" w:rsidRDefault="00592D7C">
            <w:pPr>
              <w:numPr>
                <w:ilvl w:val="0"/>
                <w:numId w:val="1"/>
              </w:numPr>
              <w:pBdr>
                <w:top w:val="nil"/>
                <w:left w:val="nil"/>
                <w:bottom w:val="nil"/>
                <w:right w:val="nil"/>
                <w:between w:val="nil"/>
              </w:pBdr>
              <w:spacing w:after="0"/>
              <w:jc w:val="both"/>
              <w:rPr>
                <w:color w:val="000000"/>
              </w:rPr>
            </w:pPr>
            <w:bookmarkStart w:id="1" w:name="_30j0zll" w:colFirst="0" w:colLast="0"/>
            <w:bookmarkEnd w:id="1"/>
            <w:r>
              <w:rPr>
                <w:rFonts w:ascii="Arial Narrow" w:eastAsia="Arial Narrow" w:hAnsi="Arial Narrow" w:cs="Arial Narrow"/>
                <w:color w:val="000000"/>
              </w:rPr>
              <w:t>Las respuestas a las observaciones emitidas por el MAE, al estudio complementario del Estudio de Impacto Ambiental del proyecto Llurimagua, se están revisando en talleres con técnicos del Ministerio del Ambiente, previo a su entrega oficial.</w:t>
            </w:r>
          </w:p>
          <w:p w:rsidR="00026D34" w:rsidRPr="00026D34" w:rsidRDefault="00026D34" w:rsidP="00026D34">
            <w:pPr>
              <w:numPr>
                <w:ilvl w:val="0"/>
                <w:numId w:val="1"/>
              </w:numPr>
              <w:pBdr>
                <w:top w:val="nil"/>
                <w:left w:val="nil"/>
                <w:bottom w:val="nil"/>
                <w:right w:val="nil"/>
                <w:between w:val="nil"/>
              </w:pBdr>
              <w:spacing w:after="0"/>
              <w:jc w:val="both"/>
              <w:rPr>
                <w:rFonts w:ascii="Arial Narrow" w:eastAsia="Arial Narrow" w:hAnsi="Arial Narrow" w:cs="Arial Narrow"/>
                <w:color w:val="000000"/>
              </w:rPr>
            </w:pPr>
            <w:r>
              <w:rPr>
                <w:rFonts w:ascii="Arial Narrow" w:eastAsia="Arial Narrow" w:hAnsi="Arial Narrow" w:cs="Arial Narrow"/>
                <w:color w:val="000000"/>
              </w:rPr>
              <w:t>ENAMI ha entregado el primer informe semestral enero-junio 2019, que</w:t>
            </w:r>
            <w:r w:rsidRPr="00026D34">
              <w:rPr>
                <w:rFonts w:ascii="Arial Narrow" w:eastAsia="Arial Narrow" w:hAnsi="Arial Narrow" w:cs="Arial Narrow"/>
                <w:color w:val="000000"/>
              </w:rPr>
              <w:t xml:space="preserve"> reporta el cumplimiento del plan de manejo ambiental del proyecto y los monitoreos de agua y suelo, en los puntos determinados en el estudio de impacto ambiental del año 2014.</w:t>
            </w:r>
          </w:p>
          <w:p w:rsidR="00026D34" w:rsidRPr="00026D34" w:rsidRDefault="00026D34" w:rsidP="00026D34">
            <w:pPr>
              <w:numPr>
                <w:ilvl w:val="0"/>
                <w:numId w:val="1"/>
              </w:numPr>
              <w:pBdr>
                <w:top w:val="nil"/>
                <w:left w:val="nil"/>
                <w:bottom w:val="nil"/>
                <w:right w:val="nil"/>
                <w:between w:val="nil"/>
              </w:pBdr>
              <w:spacing w:after="0"/>
              <w:jc w:val="both"/>
              <w:rPr>
                <w:rFonts w:ascii="Arial Narrow" w:eastAsia="Arial Narrow" w:hAnsi="Arial Narrow" w:cs="Arial Narrow"/>
                <w:color w:val="000000"/>
              </w:rPr>
            </w:pPr>
            <w:r w:rsidRPr="00026D34">
              <w:rPr>
                <w:rFonts w:ascii="Arial Narrow" w:eastAsia="Arial Narrow" w:hAnsi="Arial Narrow" w:cs="Arial Narrow"/>
                <w:color w:val="000000"/>
              </w:rPr>
              <w:t>Los monitoreos ambientales fueron realizados por el laboratorio GRUENTEC, el cual cuenta con la mayor cantidad de acreditaciones para el análisis de parámetros de agua y suelo. En cuanto a los límites de cuantificación y detección de elementos químicos, el laboratorio GRUENTEC ha indicado, mediante un escrito, que la tecnología actual de los métodos acreditados, no permite que las concentraciones de algunos elementos químicos sean comparadas con los límites máximos permisibles establecidos en la normativa, porque el límite de cuantificación es superior.</w:t>
            </w:r>
            <w:r>
              <w:rPr>
                <w:rFonts w:ascii="Arial Narrow" w:eastAsia="Arial Narrow" w:hAnsi="Arial Narrow" w:cs="Arial Narrow"/>
                <w:color w:val="000000"/>
              </w:rPr>
              <w:t xml:space="preserve"> </w:t>
            </w:r>
            <w:r w:rsidRPr="00026D34">
              <w:rPr>
                <w:rFonts w:ascii="Arial Narrow" w:eastAsia="Arial Narrow" w:hAnsi="Arial Narrow" w:cs="Arial Narrow"/>
                <w:color w:val="000000"/>
              </w:rPr>
              <w:t>Si los métodos de análisis empleados no están acreditados, los monitoreos no tienen validez legal ante el Ministerio del Ambiente.</w:t>
            </w:r>
          </w:p>
          <w:p w:rsidR="004D4814" w:rsidRDefault="00592D7C" w:rsidP="00026D34">
            <w:pPr>
              <w:numPr>
                <w:ilvl w:val="0"/>
                <w:numId w:val="1"/>
              </w:numPr>
              <w:pBdr>
                <w:top w:val="nil"/>
                <w:left w:val="nil"/>
                <w:bottom w:val="nil"/>
                <w:right w:val="nil"/>
                <w:between w:val="nil"/>
              </w:pBdr>
              <w:spacing w:after="0"/>
              <w:jc w:val="both"/>
              <w:rPr>
                <w:color w:val="000000"/>
              </w:rPr>
            </w:pPr>
            <w:r>
              <w:rPr>
                <w:rFonts w:ascii="Arial Narrow" w:eastAsia="Arial Narrow" w:hAnsi="Arial Narrow" w:cs="Arial Narrow"/>
                <w:color w:val="000000"/>
              </w:rPr>
              <w:t>A la presente fecha, las actividades de exploración avanzada del proyecto Llurimagua s</w:t>
            </w:r>
            <w:r w:rsidR="00026D34">
              <w:rPr>
                <w:rFonts w:ascii="Arial Narrow" w:eastAsia="Arial Narrow" w:hAnsi="Arial Narrow" w:cs="Arial Narrow"/>
                <w:color w:val="000000"/>
              </w:rPr>
              <w:t xml:space="preserve">e encuentran paralizadas debido a que </w:t>
            </w:r>
            <w:r w:rsidR="00026D34" w:rsidRPr="00026D34">
              <w:rPr>
                <w:rFonts w:ascii="Arial Narrow" w:eastAsia="Arial Narrow" w:hAnsi="Arial Narrow" w:cs="Arial Narrow"/>
                <w:color w:val="000000"/>
              </w:rPr>
              <w:t>se terminó de perforar los pozos autorizados por la licencia ambiental obtenida el año 2014. Actualmente se está gestionando la extensión del permiso para continuar realizando perforaciones exploratorias dentro de un área operativa de 1.400 hectáreas dentro de la misma concesión.</w:t>
            </w:r>
            <w:r>
              <w:rPr>
                <w:rFonts w:ascii="Arial Narrow" w:eastAsia="Arial Narrow" w:hAnsi="Arial Narrow" w:cs="Arial Narrow"/>
                <w:color w:val="000000"/>
              </w:rPr>
              <w:t xml:space="preserve"> </w:t>
            </w:r>
          </w:p>
          <w:p w:rsidR="004D4814" w:rsidRDefault="00592D7C">
            <w:pPr>
              <w:numPr>
                <w:ilvl w:val="0"/>
                <w:numId w:val="1"/>
              </w:numPr>
              <w:pBdr>
                <w:top w:val="nil"/>
                <w:left w:val="nil"/>
                <w:bottom w:val="nil"/>
                <w:right w:val="nil"/>
                <w:between w:val="nil"/>
              </w:pBdr>
              <w:spacing w:after="0"/>
              <w:jc w:val="both"/>
              <w:rPr>
                <w:color w:val="000000"/>
              </w:rPr>
            </w:pPr>
            <w:r>
              <w:rPr>
                <w:rFonts w:ascii="Arial Narrow" w:eastAsia="Arial Narrow" w:hAnsi="Arial Narrow" w:cs="Arial Narrow"/>
                <w:color w:val="000000"/>
              </w:rPr>
              <w:t>Actualmente, ENAMI EP tiene aprobados los informes de monitoreo y seguimiento ambiental de los años 2015, 2016 y primer semestre de 2017. De igual manera, el MAE ha aprobado la primera auditoría ambiental de cumplimiento, correspondiente al periodo 2014-2015.</w:t>
            </w:r>
          </w:p>
          <w:p w:rsidR="004D4814" w:rsidRDefault="00592D7C">
            <w:pPr>
              <w:numPr>
                <w:ilvl w:val="0"/>
                <w:numId w:val="1"/>
              </w:numPr>
              <w:pBdr>
                <w:top w:val="nil"/>
                <w:left w:val="nil"/>
                <w:bottom w:val="nil"/>
                <w:right w:val="nil"/>
                <w:between w:val="nil"/>
              </w:pBdr>
              <w:spacing w:after="0"/>
              <w:jc w:val="both"/>
              <w:rPr>
                <w:color w:val="000000"/>
              </w:rPr>
            </w:pPr>
            <w:r>
              <w:rPr>
                <w:rFonts w:ascii="Arial Narrow" w:eastAsia="Arial Narrow" w:hAnsi="Arial Narrow" w:cs="Arial Narrow"/>
                <w:color w:val="000000"/>
              </w:rPr>
              <w:t>Respecto a la observación de que la ENAMI EP intervino en Ia microcuenca del río Junín sin garantizar el uso del agua y el caudal ecológico y sin disponer de un plan de conservación. La ENAMI acogió la recomendación de la CGE y elaboró un insumo para la construcción del Plan de Conservación de la Microcuenca del proyecto Llurimagua, el cual contempla las medidas del plan de manejo ambiental aprobado en la auditoría 2014-2015. El insumo</w:t>
            </w:r>
            <w:r w:rsidR="00026D34">
              <w:rPr>
                <w:rFonts w:ascii="Arial Narrow" w:eastAsia="Arial Narrow" w:hAnsi="Arial Narrow" w:cs="Arial Narrow"/>
                <w:color w:val="000000"/>
              </w:rPr>
              <w:t xml:space="preserve"> fue remitido a Exploraciones Mineras Andinas del Ecuador, EMSAEC S.A. (filias de CODELCO en Ecuador)</w:t>
            </w:r>
            <w:r>
              <w:rPr>
                <w:rFonts w:ascii="Arial Narrow" w:eastAsia="Arial Narrow" w:hAnsi="Arial Narrow" w:cs="Arial Narrow"/>
                <w:color w:val="000000"/>
              </w:rPr>
              <w:t xml:space="preserve"> para que procedan con la elaboración de un plan, conforme a lo solicitado por la CGE.</w:t>
            </w:r>
          </w:p>
          <w:p w:rsidR="004D4814" w:rsidRDefault="00592D7C">
            <w:pPr>
              <w:numPr>
                <w:ilvl w:val="0"/>
                <w:numId w:val="1"/>
              </w:numPr>
              <w:pBdr>
                <w:top w:val="nil"/>
                <w:left w:val="nil"/>
                <w:bottom w:val="nil"/>
                <w:right w:val="nil"/>
                <w:between w:val="nil"/>
              </w:pBdr>
              <w:spacing w:after="0"/>
              <w:jc w:val="both"/>
              <w:rPr>
                <w:color w:val="000000"/>
              </w:rPr>
            </w:pPr>
            <w:r>
              <w:rPr>
                <w:rFonts w:ascii="Arial Narrow" w:eastAsia="Arial Narrow" w:hAnsi="Arial Narrow" w:cs="Arial Narrow"/>
                <w:color w:val="000000"/>
              </w:rPr>
              <w:t>Con respecto a que la ENAMI EP no contó con la certificación de no afectación a cuerpos de agua, la ENAMI EP ha solicitado certificados de no afectación a fuentes hídricas para los siguiente</w:t>
            </w:r>
            <w:r w:rsidR="00026D34">
              <w:rPr>
                <w:rFonts w:ascii="Arial Narrow" w:eastAsia="Arial Narrow" w:hAnsi="Arial Narrow" w:cs="Arial Narrow"/>
                <w:color w:val="000000"/>
              </w:rPr>
              <w:t>s</w:t>
            </w:r>
            <w:r>
              <w:rPr>
                <w:rFonts w:ascii="Arial Narrow" w:eastAsia="Arial Narrow" w:hAnsi="Arial Narrow" w:cs="Arial Narrow"/>
                <w:color w:val="000000"/>
              </w:rPr>
              <w:t xml:space="preserve"> proyectos:</w:t>
            </w:r>
            <w:r>
              <w:rPr>
                <w:rFonts w:ascii="Arial Narrow" w:eastAsia="Arial Narrow" w:hAnsi="Arial Narrow" w:cs="Arial Narrow"/>
                <w:b/>
                <w:color w:val="000000"/>
              </w:rPr>
              <w:t xml:space="preserve"> </w:t>
            </w:r>
            <w:r>
              <w:rPr>
                <w:rFonts w:ascii="Arial Narrow" w:eastAsia="Arial Narrow" w:hAnsi="Arial Narrow" w:cs="Arial Narrow"/>
                <w:color w:val="000000"/>
              </w:rPr>
              <w:t>Pacto (Urcutambo e Ingapi), Tola Norte y</w:t>
            </w:r>
            <w:r>
              <w:rPr>
                <w:rFonts w:ascii="Arial Narrow" w:eastAsia="Arial Narrow" w:hAnsi="Arial Narrow" w:cs="Arial Narrow"/>
                <w:b/>
                <w:color w:val="000000"/>
              </w:rPr>
              <w:t xml:space="preserve"> </w:t>
            </w:r>
            <w:r>
              <w:rPr>
                <w:rFonts w:ascii="Arial Narrow" w:eastAsia="Arial Narrow" w:hAnsi="Arial Narrow" w:cs="Arial Narrow"/>
                <w:color w:val="000000"/>
              </w:rPr>
              <w:t>Sigchos.</w:t>
            </w:r>
            <w:r>
              <w:rPr>
                <w:rFonts w:ascii="Arial Narrow" w:eastAsia="Arial Narrow" w:hAnsi="Arial Narrow" w:cs="Arial Narrow"/>
                <w:b/>
                <w:color w:val="000000"/>
              </w:rPr>
              <w:t xml:space="preserve"> </w:t>
            </w:r>
            <w:r>
              <w:rPr>
                <w:rFonts w:ascii="Arial Narrow" w:eastAsia="Arial Narrow" w:hAnsi="Arial Narrow" w:cs="Arial Narrow"/>
                <w:color w:val="000000"/>
              </w:rPr>
              <w:t>Pendientes: Nanguipa y Campanillas</w:t>
            </w:r>
            <w:r w:rsidR="00AF3294">
              <w:rPr>
                <w:rFonts w:ascii="Arial Narrow" w:eastAsia="Arial Narrow" w:hAnsi="Arial Narrow" w:cs="Arial Narrow"/>
                <w:color w:val="000000"/>
              </w:rPr>
              <w:t>. El Proyecto Llurimagua cuenta con este certificado desde el mes de agosto de 2018, considerando que su trámite en diciembre de 2015.</w:t>
            </w:r>
          </w:p>
          <w:p w:rsidR="00987BD9" w:rsidRPr="00987BD9" w:rsidRDefault="00592D7C">
            <w:pPr>
              <w:numPr>
                <w:ilvl w:val="0"/>
                <w:numId w:val="1"/>
              </w:numPr>
              <w:pBdr>
                <w:top w:val="nil"/>
                <w:left w:val="nil"/>
                <w:bottom w:val="nil"/>
                <w:right w:val="nil"/>
                <w:between w:val="nil"/>
              </w:pBdr>
              <w:spacing w:after="0"/>
              <w:jc w:val="both"/>
              <w:rPr>
                <w:color w:val="000000"/>
              </w:rPr>
            </w:pPr>
            <w:r>
              <w:rPr>
                <w:rFonts w:ascii="Arial Narrow" w:eastAsia="Arial Narrow" w:hAnsi="Arial Narrow" w:cs="Arial Narrow"/>
                <w:color w:val="000000"/>
              </w:rPr>
              <w:lastRenderedPageBreak/>
              <w:t>Referente a que ENAMIEP utilizó agua captada de fuentes hídricas naturales sin autorización por 973 días y captó agua para el consumo humano de un punto destinado para uso industrial</w:t>
            </w:r>
            <w:r w:rsidR="00987BD9">
              <w:rPr>
                <w:rFonts w:ascii="Arial Narrow" w:eastAsia="Arial Narrow" w:hAnsi="Arial Narrow" w:cs="Arial Narrow"/>
                <w:color w:val="000000"/>
              </w:rPr>
              <w:t>, es necesario indicar que ENAMI cuenta con la autorización de uso y aprovechamiento de agua desde diciembre de 2014</w:t>
            </w:r>
            <w:r>
              <w:rPr>
                <w:rFonts w:ascii="Arial Narrow" w:eastAsia="Arial Narrow" w:hAnsi="Arial Narrow" w:cs="Arial Narrow"/>
                <w:color w:val="000000"/>
              </w:rPr>
              <w:t xml:space="preserve">. </w:t>
            </w:r>
          </w:p>
          <w:p w:rsidR="004D4814" w:rsidRDefault="00592D7C">
            <w:pPr>
              <w:numPr>
                <w:ilvl w:val="0"/>
                <w:numId w:val="1"/>
              </w:numPr>
              <w:pBdr>
                <w:top w:val="nil"/>
                <w:left w:val="nil"/>
                <w:bottom w:val="nil"/>
                <w:right w:val="nil"/>
                <w:between w:val="nil"/>
              </w:pBdr>
              <w:spacing w:after="0"/>
              <w:jc w:val="both"/>
              <w:rPr>
                <w:color w:val="000000"/>
              </w:rPr>
            </w:pPr>
            <w:r>
              <w:rPr>
                <w:rFonts w:ascii="Arial Narrow" w:eastAsia="Arial Narrow" w:hAnsi="Arial Narrow" w:cs="Arial Narrow"/>
                <w:color w:val="000000"/>
              </w:rPr>
              <w:t xml:space="preserve">ENAMI cumplirá con </w:t>
            </w:r>
            <w:r w:rsidR="00987BD9">
              <w:rPr>
                <w:rFonts w:ascii="Arial Narrow" w:eastAsia="Arial Narrow" w:hAnsi="Arial Narrow" w:cs="Arial Narrow"/>
                <w:color w:val="000000"/>
              </w:rPr>
              <w:t>la medición de caudales</w:t>
            </w:r>
            <w:r>
              <w:rPr>
                <w:rFonts w:ascii="Arial Narrow" w:eastAsia="Arial Narrow" w:hAnsi="Arial Narrow" w:cs="Arial Narrow"/>
                <w:color w:val="000000"/>
              </w:rPr>
              <w:t xml:space="preserve"> cuando las actividades de exploración avanzada se reinicien y se puedan realizar las mediciones y tomar los datos necesarios, es decir, una vez que el MAE apruebe el estudio complementario para la ampliación del área de exploración de la concesión Llurimagua.</w:t>
            </w:r>
          </w:p>
          <w:p w:rsidR="004D4814" w:rsidRPr="00987BD9" w:rsidRDefault="00592D7C" w:rsidP="00987BD9">
            <w:pPr>
              <w:numPr>
                <w:ilvl w:val="0"/>
                <w:numId w:val="1"/>
              </w:numPr>
              <w:pBdr>
                <w:top w:val="nil"/>
                <w:left w:val="nil"/>
                <w:bottom w:val="nil"/>
                <w:right w:val="nil"/>
                <w:between w:val="nil"/>
              </w:pBdr>
              <w:spacing w:after="0"/>
              <w:jc w:val="both"/>
              <w:rPr>
                <w:color w:val="000000"/>
              </w:rPr>
            </w:pPr>
            <w:r>
              <w:rPr>
                <w:rFonts w:ascii="Arial Narrow" w:eastAsia="Arial Narrow" w:hAnsi="Arial Narrow" w:cs="Arial Narrow"/>
                <w:color w:val="000000"/>
              </w:rPr>
              <w:t>Existen recomendaciones referentes a informes anuales de actividades, planes de inversión, exploración, registros contables, que serán implementada</w:t>
            </w:r>
            <w:r w:rsidR="00987BD9">
              <w:rPr>
                <w:rFonts w:ascii="Arial Narrow" w:eastAsia="Arial Narrow" w:hAnsi="Arial Narrow" w:cs="Arial Narrow"/>
                <w:color w:val="000000"/>
              </w:rPr>
              <w:t>s</w:t>
            </w:r>
            <w:r>
              <w:rPr>
                <w:rFonts w:ascii="Arial Narrow" w:eastAsia="Arial Narrow" w:hAnsi="Arial Narrow" w:cs="Arial Narrow"/>
                <w:color w:val="000000"/>
              </w:rPr>
              <w:t xml:space="preserve"> una vez que se presente el informe anual de exploración correspondiente al año 2019, en marzo de 2020.</w:t>
            </w:r>
            <w:bookmarkStart w:id="2" w:name="_GoBack"/>
            <w:bookmarkEnd w:id="2"/>
          </w:p>
        </w:tc>
      </w:tr>
    </w:tbl>
    <w:p w:rsidR="004D4814" w:rsidRDefault="004D4814">
      <w:pPr>
        <w:pBdr>
          <w:top w:val="nil"/>
          <w:left w:val="nil"/>
          <w:bottom w:val="nil"/>
          <w:right w:val="nil"/>
          <w:between w:val="nil"/>
        </w:pBdr>
        <w:ind w:left="720" w:hanging="720"/>
        <w:rPr>
          <w:rFonts w:ascii="Arial Narrow" w:eastAsia="Arial Narrow" w:hAnsi="Arial Narrow" w:cs="Arial Narrow"/>
          <w:color w:val="000000"/>
        </w:rPr>
      </w:pPr>
    </w:p>
    <w:sectPr w:rsidR="004D4814">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361AE3"/>
    <w:multiLevelType w:val="multilevel"/>
    <w:tmpl w:val="6B96BE5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C372783"/>
    <w:multiLevelType w:val="multilevel"/>
    <w:tmpl w:val="0D00F98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814"/>
    <w:rsid w:val="00026D34"/>
    <w:rsid w:val="004D4814"/>
    <w:rsid w:val="00592D7C"/>
    <w:rsid w:val="00730F16"/>
    <w:rsid w:val="00887120"/>
    <w:rsid w:val="00987BD9"/>
    <w:rsid w:val="00AA5476"/>
    <w:rsid w:val="00AF3294"/>
    <w:rsid w:val="00FD04F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AC9EA"/>
  <w15:docId w15:val="{DD7026B8-FF05-4A70-B0C6-A38AF809C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C"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aliases w:val="TIT 2 IND,Capítulo,Párrafo de lista2,Texto,List Paragraph1,List Paragraph"/>
    <w:basedOn w:val="Normal"/>
    <w:link w:val="PrrafodelistaCar"/>
    <w:uiPriority w:val="34"/>
    <w:qFormat/>
    <w:rsid w:val="003848C9"/>
    <w:pPr>
      <w:ind w:left="720"/>
      <w:contextualSpacing/>
    </w:pPr>
  </w:style>
  <w:style w:type="paragraph" w:styleId="Textodeglobo">
    <w:name w:val="Balloon Text"/>
    <w:basedOn w:val="Normal"/>
    <w:link w:val="TextodegloboCar"/>
    <w:uiPriority w:val="99"/>
    <w:semiHidden/>
    <w:unhideWhenUsed/>
    <w:rsid w:val="006E39AB"/>
    <w:pPr>
      <w:spacing w:after="0" w:line="240" w:lineRule="auto"/>
    </w:pPr>
    <w:rPr>
      <w:rFonts w:ascii="Lucida Grande" w:eastAsiaTheme="minorEastAsia" w:hAnsi="Lucida Grande"/>
      <w:sz w:val="18"/>
      <w:szCs w:val="18"/>
      <w:lang w:val="es-ES_tradnl" w:eastAsia="es-ES"/>
    </w:rPr>
  </w:style>
  <w:style w:type="character" w:customStyle="1" w:styleId="TextodegloboCar">
    <w:name w:val="Texto de globo Car"/>
    <w:basedOn w:val="Fuentedeprrafopredeter"/>
    <w:link w:val="Textodeglobo"/>
    <w:uiPriority w:val="99"/>
    <w:semiHidden/>
    <w:rsid w:val="006E39AB"/>
    <w:rPr>
      <w:rFonts w:ascii="Lucida Grande" w:eastAsiaTheme="minorEastAsia" w:hAnsi="Lucida Grande"/>
      <w:sz w:val="18"/>
      <w:szCs w:val="18"/>
      <w:lang w:val="es-ES_tradnl" w:eastAsia="es-ES"/>
    </w:rPr>
  </w:style>
  <w:style w:type="character" w:customStyle="1" w:styleId="PrrafodelistaCar">
    <w:name w:val="Párrafo de lista Car"/>
    <w:aliases w:val="TIT 2 IND Car,Capítulo Car,Párrafo de lista2 Car,Texto Car,List Paragraph1 Car,List Paragraph Car"/>
    <w:link w:val="Prrafodelista"/>
    <w:uiPriority w:val="34"/>
    <w:rsid w:val="006E39AB"/>
  </w:style>
  <w:style w:type="character" w:styleId="Refdecomentario">
    <w:name w:val="annotation reference"/>
    <w:basedOn w:val="Fuentedeprrafopredeter"/>
    <w:uiPriority w:val="99"/>
    <w:semiHidden/>
    <w:unhideWhenUsed/>
    <w:rsid w:val="006C0136"/>
    <w:rPr>
      <w:sz w:val="16"/>
      <w:szCs w:val="16"/>
    </w:rPr>
  </w:style>
  <w:style w:type="paragraph" w:styleId="Textocomentario">
    <w:name w:val="annotation text"/>
    <w:basedOn w:val="Normal"/>
    <w:link w:val="TextocomentarioCar"/>
    <w:uiPriority w:val="99"/>
    <w:semiHidden/>
    <w:unhideWhenUsed/>
    <w:rsid w:val="006C013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C0136"/>
    <w:rPr>
      <w:sz w:val="20"/>
      <w:szCs w:val="20"/>
    </w:rPr>
  </w:style>
  <w:style w:type="paragraph" w:styleId="Asuntodelcomentario">
    <w:name w:val="annotation subject"/>
    <w:basedOn w:val="Textocomentario"/>
    <w:next w:val="Textocomentario"/>
    <w:link w:val="AsuntodelcomentarioCar"/>
    <w:uiPriority w:val="99"/>
    <w:semiHidden/>
    <w:unhideWhenUsed/>
    <w:rsid w:val="006C0136"/>
    <w:rPr>
      <w:b/>
      <w:bCs/>
    </w:rPr>
  </w:style>
  <w:style w:type="character" w:customStyle="1" w:styleId="AsuntodelcomentarioCar">
    <w:name w:val="Asunto del comentario Car"/>
    <w:basedOn w:val="TextocomentarioCar"/>
    <w:link w:val="Asuntodelcomentario"/>
    <w:uiPriority w:val="99"/>
    <w:semiHidden/>
    <w:rsid w:val="006C0136"/>
    <w:rPr>
      <w:b/>
      <w:bCs/>
      <w:sz w:val="20"/>
      <w:szCs w:val="20"/>
    </w:rPr>
  </w:style>
  <w:style w:type="paragraph" w:customStyle="1" w:styleId="Default">
    <w:name w:val="Default"/>
    <w:rsid w:val="009C7342"/>
    <w:pPr>
      <w:autoSpaceDE w:val="0"/>
      <w:autoSpaceDN w:val="0"/>
      <w:adjustRightInd w:val="0"/>
      <w:spacing w:after="0" w:line="240" w:lineRule="auto"/>
    </w:pPr>
    <w:rPr>
      <w:rFonts w:ascii="Cambria" w:hAnsi="Cambria" w:cs="Cambria"/>
      <w:color w:val="000000"/>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302995">
      <w:bodyDiv w:val="1"/>
      <w:marLeft w:val="0"/>
      <w:marRight w:val="0"/>
      <w:marTop w:val="0"/>
      <w:marBottom w:val="0"/>
      <w:divBdr>
        <w:top w:val="none" w:sz="0" w:space="0" w:color="auto"/>
        <w:left w:val="none" w:sz="0" w:space="0" w:color="auto"/>
        <w:bottom w:val="none" w:sz="0" w:space="0" w:color="auto"/>
        <w:right w:val="none" w:sz="0" w:space="0" w:color="auto"/>
      </w:divBdr>
    </w:div>
    <w:div w:id="989747010">
      <w:bodyDiv w:val="1"/>
      <w:marLeft w:val="0"/>
      <w:marRight w:val="0"/>
      <w:marTop w:val="0"/>
      <w:marBottom w:val="0"/>
      <w:divBdr>
        <w:top w:val="none" w:sz="0" w:space="0" w:color="auto"/>
        <w:left w:val="none" w:sz="0" w:space="0" w:color="auto"/>
        <w:bottom w:val="none" w:sz="0" w:space="0" w:color="auto"/>
        <w:right w:val="none" w:sz="0" w:space="0" w:color="auto"/>
      </w:divBdr>
    </w:div>
    <w:div w:id="1986006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720</Words>
  <Characters>3964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RAFAELA</dc:creator>
  <cp:lastModifiedBy>Juan Jimenez</cp:lastModifiedBy>
  <cp:revision>7</cp:revision>
  <dcterms:created xsi:type="dcterms:W3CDTF">2019-11-26T15:42:00Z</dcterms:created>
  <dcterms:modified xsi:type="dcterms:W3CDTF">2019-11-27T13:28:00Z</dcterms:modified>
</cp:coreProperties>
</file>